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82576C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576C">
      <w:pPr>
        <w:jc w:val="center"/>
      </w:pPr>
      <w:r>
        <w:rPr>
          <w:b/>
          <w:sz w:val="32"/>
          <w:szCs w:val="32"/>
        </w:rPr>
        <w:t>Красноярский край</w:t>
      </w:r>
    </w:p>
    <w:p w:rsidR="00000000" w:rsidRDefault="0082576C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82576C">
      <w:pPr>
        <w:ind w:firstLine="709"/>
        <w:jc w:val="center"/>
        <w:rPr>
          <w:b/>
          <w:sz w:val="28"/>
          <w:szCs w:val="28"/>
        </w:rPr>
      </w:pPr>
    </w:p>
    <w:p w:rsidR="00000000" w:rsidRDefault="0082576C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82576C">
      <w:pPr>
        <w:ind w:firstLine="709"/>
        <w:jc w:val="center"/>
        <w:rPr>
          <w:b/>
          <w:sz w:val="28"/>
          <w:szCs w:val="28"/>
        </w:rPr>
      </w:pPr>
    </w:p>
    <w:p w:rsidR="00000000" w:rsidRDefault="0082576C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18.12.2024 № 40-330 «О бюджете города Канска на 2025 год и плановый период 2026-2027 годов»</w:t>
      </w:r>
    </w:p>
    <w:p w:rsidR="00000000" w:rsidRDefault="0082576C">
      <w:pPr>
        <w:ind w:right="-2" w:firstLine="709"/>
        <w:jc w:val="center"/>
        <w:rPr>
          <w:b/>
          <w:sz w:val="28"/>
          <w:szCs w:val="28"/>
        </w:rPr>
      </w:pP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г</w:t>
      </w:r>
      <w:r>
        <w:rPr>
          <w:sz w:val="28"/>
          <w:szCs w:val="28"/>
        </w:rPr>
        <w:t>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18.03.2025 г.</w:t>
      </w:r>
    </w:p>
    <w:p w:rsidR="00000000" w:rsidRDefault="0082576C">
      <w:pPr>
        <w:ind w:right="-2" w:firstLine="709"/>
        <w:jc w:val="both"/>
        <w:rPr>
          <w:sz w:val="28"/>
          <w:szCs w:val="28"/>
        </w:rPr>
      </w:pP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11.03.2025 № 872 предоставлен в Контрольно-счетную комиссию                   (входящий от 17.02.2025 № 16/01-19) про</w:t>
      </w:r>
      <w:r>
        <w:rPr>
          <w:sz w:val="28"/>
          <w:szCs w:val="28"/>
        </w:rPr>
        <w:t>ект решения о внесении изменений                   в решение Канского городского Совета депутатов от 18.12.2024 № 40-330 «О бюджете города Канска на 2025 год и плановый период 2026-2027 годов» (далее – проект решения) для заключения на проект решения и рас</w:t>
      </w:r>
      <w:r>
        <w:rPr>
          <w:sz w:val="28"/>
          <w:szCs w:val="28"/>
        </w:rPr>
        <w:t>смотрения Канским городским Советом депутатов.</w:t>
      </w: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Положение</w:t>
      </w:r>
      <w:r>
        <w:rPr>
          <w:sz w:val="28"/>
          <w:szCs w:val="28"/>
        </w:rPr>
        <w:t>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82576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82576C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2576C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2025 год утвержденный решени</w:t>
      </w:r>
      <w:r>
        <w:rPr>
          <w:rFonts w:ascii="Times New Roman" w:hAnsi="Times New Roman" w:cs="Times New Roman"/>
          <w:sz w:val="28"/>
          <w:szCs w:val="28"/>
        </w:rPr>
        <w:t xml:space="preserve">ем Канского городского Совета депутатов от 18.12.2024 № 40-330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3 389 267 618,00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3 437 839 138,00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48 571 520,00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2576C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предо</w:t>
      </w:r>
      <w:r>
        <w:rPr>
          <w:rFonts w:ascii="Times New Roman" w:hAnsi="Times New Roman" w:cs="Times New Roman"/>
          <w:sz w:val="28"/>
          <w:szCs w:val="28"/>
        </w:rPr>
        <w:t>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82576C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4 095 188 863,34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4 189 649 835,16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94 460 971,82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2576C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2576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82576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82576C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lastRenderedPageBreak/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171 084 207,3</w:t>
      </w:r>
      <w:r>
        <w:rPr>
          <w:b/>
          <w:bCs/>
          <w:sz w:val="28"/>
          <w:szCs w:val="28"/>
        </w:rPr>
        <w:t>7 рублей,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за счет: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40 833 601,96 рубль, в том числе:</w:t>
      </w:r>
      <w:r>
        <w:rPr>
          <w:bCs/>
          <w:sz w:val="28"/>
          <w:szCs w:val="28"/>
        </w:rPr>
        <w:t xml:space="preserve">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- 20 000 000,00 рублей на осуществление дорожной деятельности в целях решения задач социально-экономического развития территорий за счет средств дорожного фонда Красно</w:t>
      </w:r>
      <w:r>
        <w:rPr>
          <w:bCs/>
          <w:sz w:val="28"/>
          <w:szCs w:val="28"/>
        </w:rPr>
        <w:t>ярского края;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- 12 913 000,00 рублей </w:t>
      </w:r>
      <w:r>
        <w:rPr>
          <w:sz w:val="28"/>
          <w:szCs w:val="28"/>
        </w:rPr>
        <w:t>на реализацию мероприятий, направленных на повышение безопасности дорожного движения, за счет средств дорожного фонда Красноярского края;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- 3 648 000,00 рублей на обустройство участков улично-дорожной сети вблизи образо</w:t>
      </w:r>
      <w:r>
        <w:rPr>
          <w:sz w:val="28"/>
          <w:szCs w:val="28"/>
        </w:rPr>
        <w:t>вательных организаций для обеспечения безопасности дорожного движения за счет средств дорожного фонда Красноярского края;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- 4 272 601,96 рубль  на увеличение охвата детей, обучающихся по дополнительным общеразвивающим программам;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11</w:t>
      </w:r>
      <w:r>
        <w:rPr>
          <w:b/>
          <w:bCs/>
          <w:sz w:val="28"/>
          <w:szCs w:val="28"/>
        </w:rPr>
        <w:t>5 022 716,31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- 540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300,00 рублей на осуществление государственных полномочий по созданию и обеспечению деятельности комиссий по делам несовершеннолетних и защите их прав;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- 2 521 300,00 рублей на осуществление государственных полномоч</w:t>
      </w:r>
      <w:r>
        <w:rPr>
          <w:bCs/>
          <w:sz w:val="28"/>
          <w:szCs w:val="28"/>
        </w:rPr>
        <w:t>ий по организации и осуществлению деятельности по опеке и попечительству;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- 17 516 200,00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</w:t>
      </w:r>
      <w:r>
        <w:rPr>
          <w:bCs/>
          <w:sz w:val="28"/>
          <w:szCs w:val="28"/>
        </w:rPr>
        <w:t>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</w:t>
      </w:r>
      <w:r>
        <w:rPr>
          <w:bCs/>
          <w:sz w:val="28"/>
          <w:szCs w:val="28"/>
        </w:rPr>
        <w:t>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- 26 482 200,00 рублей на обеспечение </w:t>
      </w:r>
      <w:r>
        <w:rPr>
          <w:bCs/>
          <w:sz w:val="28"/>
          <w:szCs w:val="28"/>
        </w:rPr>
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</w:t>
      </w:r>
      <w:r>
        <w:rPr>
          <w:bCs/>
          <w:sz w:val="28"/>
          <w:szCs w:val="28"/>
        </w:rPr>
        <w:t>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</w:t>
      </w:r>
      <w:r>
        <w:rPr>
          <w:bCs/>
          <w:sz w:val="28"/>
          <w:szCs w:val="28"/>
        </w:rPr>
        <w:t>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- 13 235 500,00 рублей на обеспечение государственных гарантий реализации прав на получение общедоступного и бесплатного начального общего, осн</w:t>
      </w:r>
      <w:r>
        <w:rPr>
          <w:bCs/>
          <w:sz w:val="28"/>
          <w:szCs w:val="28"/>
        </w:rPr>
        <w:t xml:space="preserve">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</w:t>
      </w:r>
      <w:r>
        <w:rPr>
          <w:bCs/>
          <w:sz w:val="28"/>
          <w:szCs w:val="28"/>
        </w:rPr>
        <w:lastRenderedPageBreak/>
        <w:t>общеобразовательных организациях, находящихся на территории края, в ч</w:t>
      </w:r>
      <w:r>
        <w:rPr>
          <w:bCs/>
          <w:sz w:val="28"/>
          <w:szCs w:val="28"/>
        </w:rPr>
        <w:t>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</w:t>
      </w:r>
      <w:r>
        <w:rPr>
          <w:bCs/>
          <w:sz w:val="28"/>
          <w:szCs w:val="28"/>
        </w:rPr>
        <w:t>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- 53 114 600,00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</w:r>
      <w:r>
        <w:rPr>
          <w:bCs/>
          <w:sz w:val="28"/>
          <w:szCs w:val="28"/>
        </w:rPr>
        <w:t>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</w:t>
      </w:r>
      <w:r>
        <w:rPr>
          <w:bCs/>
          <w:sz w:val="28"/>
          <w:szCs w:val="28"/>
        </w:rPr>
        <w:t>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- 55 800,00 рублей на осуществление государственны</w:t>
      </w:r>
      <w:r>
        <w:rPr>
          <w:bCs/>
          <w:sz w:val="28"/>
          <w:szCs w:val="28"/>
        </w:rPr>
        <w:t>х полномочий по осуществлению уведомительной регистрации коллективных договоров и территориальных соглашений и контроля за их выполнением;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- 338 600,00 рублей на обеспечение жилыми помещениями детей-сирот и детей, оставшихся без попечения родителей, лиц из</w:t>
      </w:r>
      <w:r>
        <w:rPr>
          <w:bCs/>
          <w:sz w:val="28"/>
          <w:szCs w:val="28"/>
        </w:rPr>
        <w:t xml:space="preserve">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180 100,00 рублей на выполнение государственных полномочий по созданию и обеспечению деятельности административных комиссий;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- 63 500,00 рублей на осуществление государственных полномочий в области архивного дела;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- 450 600,00 рублей  на организацию и осу</w:t>
      </w:r>
      <w:r>
        <w:rPr>
          <w:bCs/>
          <w:sz w:val="28"/>
          <w:szCs w:val="28"/>
        </w:rPr>
        <w:t>ществление деятельности по опеке и попечительству в отношении совершеннолетних граждан, а также в сфере патронажа;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- 113 500,00 рублей  на осуществление отдельных государственных полномочий по обеспечению предоставления мер социальной поддержки гражданам, </w:t>
      </w:r>
      <w:r>
        <w:rPr>
          <w:bCs/>
          <w:sz w:val="28"/>
          <w:szCs w:val="28"/>
        </w:rPr>
        <w:t>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- 36 016,31 рублей на выполнени</w:t>
      </w:r>
      <w:r>
        <w:rPr>
          <w:bCs/>
          <w:sz w:val="28"/>
          <w:szCs w:val="28"/>
        </w:rPr>
        <w:t>е отдельных государственных полномочий по организации мероприятий при осуществлении деятельности по обращению с животными без владельцев;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- 374 500,00 рублей для реализации отдельных государственных полномочий по осуществлению мониторинга состояния и разви</w:t>
      </w:r>
      <w:r>
        <w:rPr>
          <w:bCs/>
          <w:sz w:val="28"/>
          <w:szCs w:val="28"/>
        </w:rPr>
        <w:t>тия лесной промышленности;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673 240,00 рублей, в том числе: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- 36 440,00 рублей на реализацию мероприятий по неспецифической профилактике инфекций, передающихся иксодовыми клещами, путем организации и проведения ак</w:t>
      </w:r>
      <w:r>
        <w:rPr>
          <w:bCs/>
          <w:sz w:val="28"/>
          <w:szCs w:val="28"/>
        </w:rPr>
        <w:t>арицидных обработок наиболее посещаемых населением участков территории природных очагов клещевых инфекции;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- 636 800,00 рублей на поддержку физкультурно-спортивных клубов по месту жительства;</w:t>
      </w:r>
    </w:p>
    <w:p w:rsidR="00000000" w:rsidRDefault="0082576C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безвозмездных поступлений от негосударственных органи</w:t>
      </w:r>
      <w:r>
        <w:rPr>
          <w:b/>
          <w:bCs/>
          <w:sz w:val="28"/>
          <w:szCs w:val="28"/>
        </w:rPr>
        <w:t>заций на 5 160 000,00 рублей за счет увеличения прочих безвозмездных поступлений от негосударственных организаций в бюджеты городских округов – поступление добровольных пожертвований от благотворительного фонда Андрея Мельниченко;</w:t>
      </w:r>
    </w:p>
    <w:p w:rsidR="00000000" w:rsidRDefault="0082576C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прочих безвозм</w:t>
      </w:r>
      <w:r>
        <w:rPr>
          <w:b/>
          <w:bCs/>
          <w:sz w:val="28"/>
          <w:szCs w:val="28"/>
        </w:rPr>
        <w:t>ездных поступлений на 9 394 649,10 рублей за счет увеличения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</w:t>
      </w:r>
      <w:r>
        <w:rPr>
          <w:b/>
          <w:bCs/>
          <w:sz w:val="28"/>
          <w:szCs w:val="28"/>
        </w:rPr>
        <w:t xml:space="preserve">ия местного значения городских округов – поступление добровольных пожертвований от благотворительного фонда Андрея Мельниченко. </w:t>
      </w:r>
    </w:p>
    <w:p w:rsidR="00000000" w:rsidRDefault="0082576C">
      <w:pPr>
        <w:ind w:firstLine="709"/>
        <w:jc w:val="center"/>
      </w:pPr>
      <w:r>
        <w:rPr>
          <w:b/>
          <w:bCs/>
          <w:i/>
          <w:color w:val="1C1C1C"/>
          <w:sz w:val="28"/>
          <w:szCs w:val="28"/>
        </w:rPr>
        <w:t>2.2. Расходы бюджета</w:t>
      </w:r>
    </w:p>
    <w:p w:rsidR="00000000" w:rsidRDefault="0082576C">
      <w:pPr>
        <w:ind w:firstLine="709"/>
        <w:jc w:val="both"/>
      </w:pPr>
      <w:r>
        <w:rPr>
          <w:color w:val="1C1C1C"/>
          <w:sz w:val="28"/>
          <w:szCs w:val="28"/>
        </w:rPr>
        <w:t>Всего расходы городского бюджета  увеличены на сумму -                   171 084 207,37</w:t>
      </w:r>
      <w:r>
        <w:rPr>
          <w:b/>
          <w:bCs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рублей.</w:t>
      </w:r>
    </w:p>
    <w:p w:rsidR="00000000" w:rsidRDefault="0082576C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</w:t>
      </w:r>
      <w:r>
        <w:rPr>
          <w:rFonts w:ascii="Times New Roman" w:hAnsi="Times New Roman" w:cs="Times New Roman"/>
          <w:b/>
          <w:sz w:val="28"/>
          <w:szCs w:val="28"/>
        </w:rPr>
        <w:t>ипальные программы и непрограммные расходы</w:t>
      </w:r>
    </w:p>
    <w:p w:rsidR="00000000" w:rsidRDefault="0082576C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сение корректировки в плановые показатели, отразятся изменением ресурсного обеспечения в 6 муниципальных программах </w:t>
      </w:r>
      <w:r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</w:rPr>
        <w:t xml:space="preserve">епрограммных расходов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к финансированию из </w:t>
      </w:r>
      <w:r>
        <w:rPr>
          <w:rFonts w:ascii="Times New Roman" w:hAnsi="Times New Roman" w:cs="Times New Roman"/>
          <w:sz w:val="28"/>
          <w:szCs w:val="28"/>
        </w:rPr>
        <w:t>бюджета города Канска в 2025 году:</w:t>
      </w:r>
    </w:p>
    <w:p w:rsidR="00000000" w:rsidRDefault="0082576C">
      <w:pPr>
        <w:ind w:firstLine="709"/>
        <w:jc w:val="both"/>
      </w:pPr>
      <w:r>
        <w:rPr>
          <w:b/>
          <w:color w:val="1C1C1C"/>
          <w:sz w:val="28"/>
          <w:szCs w:val="28"/>
        </w:rPr>
        <w:t xml:space="preserve">           </w:t>
      </w:r>
      <w:r>
        <w:rPr>
          <w:b/>
          <w:color w:val="1C1C1C"/>
          <w:sz w:val="28"/>
          <w:szCs w:val="28"/>
        </w:rPr>
        <w:t>Муниципальная программа города Канска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«Развитие образования»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 xml:space="preserve">Расходы по программе определены в  сумме 2 509 787 826,66  рублей. 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117 142 401,96 рублей, в том числе: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- 17 516 200,00 рублей </w:t>
      </w:r>
      <w:r>
        <w:rPr>
          <w:bCs/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</w:t>
      </w:r>
      <w:r>
        <w:rPr>
          <w:bCs/>
          <w:sz w:val="28"/>
          <w:szCs w:val="28"/>
        </w:rPr>
        <w:t>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</w:t>
      </w:r>
      <w:r>
        <w:rPr>
          <w:bCs/>
          <w:sz w:val="28"/>
          <w:szCs w:val="28"/>
        </w:rPr>
        <w:t>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- 26 482 200,00 рублей на обеспечение государственных гарантий реализации прав на получение общедоступного и бесплатного дошкольного об</w:t>
      </w:r>
      <w:r>
        <w:rPr>
          <w:bCs/>
          <w:sz w:val="28"/>
          <w:szCs w:val="28"/>
        </w:rPr>
        <w:t>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</w:t>
      </w:r>
      <w:r>
        <w:rPr>
          <w:bCs/>
          <w:sz w:val="28"/>
          <w:szCs w:val="28"/>
        </w:rPr>
        <w:t>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</w:t>
      </w:r>
      <w:r>
        <w:rPr>
          <w:bCs/>
          <w:sz w:val="28"/>
          <w:szCs w:val="28"/>
        </w:rPr>
        <w:t>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- 13 235 500,00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</w:t>
      </w:r>
      <w:r>
        <w:rPr>
          <w:bCs/>
          <w:sz w:val="28"/>
          <w:szCs w:val="28"/>
        </w:rPr>
        <w:t>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</w:t>
      </w:r>
      <w:r>
        <w:rPr>
          <w:bCs/>
          <w:sz w:val="28"/>
          <w:szCs w:val="28"/>
        </w:rPr>
        <w:t xml:space="preserve">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- 53 114 600,00 рублей на обеспечение государственных гарантий реализ</w:t>
      </w:r>
      <w:r>
        <w:rPr>
          <w:bCs/>
          <w:sz w:val="28"/>
          <w:szCs w:val="28"/>
        </w:rPr>
        <w:t>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</w:t>
      </w:r>
      <w:r>
        <w:rPr>
          <w:bCs/>
          <w:sz w:val="28"/>
          <w:szCs w:val="28"/>
        </w:rPr>
        <w:t>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</w:t>
      </w:r>
      <w:r>
        <w:rPr>
          <w:bCs/>
          <w:sz w:val="28"/>
          <w:szCs w:val="28"/>
        </w:rPr>
        <w:t>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- 4 272 601,96 рубль  на увеличение охвата детей, обучающихся по дополнительным общеразвивающим программам;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- 2 521 300,00 рублей на осуществление </w:t>
      </w:r>
      <w:r>
        <w:rPr>
          <w:bCs/>
          <w:sz w:val="28"/>
          <w:szCs w:val="28"/>
        </w:rPr>
        <w:t>государственных полномочий по организации и осуществлению деятельности по опеке и попечительству.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sz w:val="28"/>
          <w:szCs w:val="28"/>
          <w:highlight w:val="yellow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689 560 009,66 рублей.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Увеличены расходы на 46 </w:t>
      </w:r>
      <w:r>
        <w:rPr>
          <w:b/>
          <w:sz w:val="28"/>
          <w:szCs w:val="28"/>
        </w:rPr>
        <w:t>626 085,21 рублей, в том числе: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000,00 рублей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 города Канска.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- 3 648 000,00 рублей на обустрой</w:t>
      </w:r>
      <w:r>
        <w:rPr>
          <w:sz w:val="28"/>
          <w:szCs w:val="28"/>
        </w:rPr>
        <w:t>ство участков улично-дорожной сети вблизи образовательных организаций для обеспечения безопасности дорожного движения за счет средств муниципального дорожного фонда г. Канска;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- 12 913 000,00 рублей </w:t>
      </w:r>
      <w:r>
        <w:rPr>
          <w:sz w:val="28"/>
          <w:szCs w:val="28"/>
        </w:rPr>
        <w:t>на реализацию мероприятий, направленных на повышение безо</w:t>
      </w:r>
      <w:r>
        <w:rPr>
          <w:sz w:val="28"/>
          <w:szCs w:val="28"/>
        </w:rPr>
        <w:t>пасности дорожного движения, за счет средств муниципального дорожного фонда г. Канска;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- 36 440,00 рублей на мероприятие по неспецифической профилактике инфекций, передающихся иксодовыми клещами, путем организации и проведения акарицидных обработок наиболе</w:t>
      </w:r>
      <w:r>
        <w:rPr>
          <w:sz w:val="28"/>
          <w:szCs w:val="28"/>
        </w:rPr>
        <w:t xml:space="preserve">е посещаемых населением участков территории природных очагов клещевых инфекций;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- 36 016,31 рублей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владельцев;</w:t>
      </w:r>
    </w:p>
    <w:p w:rsidR="00000000" w:rsidRDefault="0082576C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sz w:val="28"/>
          <w:szCs w:val="28"/>
        </w:rPr>
        <w:t>- 9 39</w:t>
      </w:r>
      <w:r>
        <w:rPr>
          <w:sz w:val="28"/>
          <w:szCs w:val="28"/>
        </w:rPr>
        <w:t xml:space="preserve">4 649,10 рублей на расходы от поступлений денежных пожертвований, целевых средств за счет средств муниципального дорожного фонда города Канска </w:t>
      </w:r>
      <w:r>
        <w:rPr>
          <w:bCs/>
          <w:sz w:val="28"/>
          <w:szCs w:val="28"/>
        </w:rPr>
        <w:t>– выполнение работ по обустройству и ремонту автомобильных дорог общего пользования местного значения для организ</w:t>
      </w:r>
      <w:r>
        <w:rPr>
          <w:bCs/>
          <w:sz w:val="28"/>
          <w:szCs w:val="28"/>
        </w:rPr>
        <w:t>ации проезда между улицами Куйбышева и Василия Яковенко в городе Канске;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- 597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979,80 рублей на благоустройство объектов городской среды, перераспределено с  МП «Формирование современной городской среды».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</w:t>
      </w:r>
      <w:r>
        <w:rPr>
          <w:b/>
          <w:sz w:val="28"/>
          <w:szCs w:val="28"/>
        </w:rPr>
        <w:t>ультуры»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 284 249 542,00 рубля.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63 500,00 рублей</w:t>
      </w:r>
      <w:r>
        <w:rPr>
          <w:bCs/>
          <w:sz w:val="28"/>
          <w:szCs w:val="28"/>
        </w:rPr>
        <w:t xml:space="preserve"> на осуществление государственных полномочий в области архивного дела.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физической культуры, спорт</w:t>
      </w:r>
      <w:r>
        <w:rPr>
          <w:b/>
          <w:sz w:val="28"/>
          <w:szCs w:val="28"/>
        </w:rPr>
        <w:t>а и молодежной политики»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232 454 619,00 рублей.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636 800,00 рублей</w:t>
      </w:r>
      <w:r>
        <w:rPr>
          <w:bCs/>
          <w:sz w:val="28"/>
          <w:szCs w:val="28"/>
        </w:rPr>
        <w:t xml:space="preserve"> на поддержку физкультурно-спортивных клубов по месту жительства.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</w:t>
      </w:r>
      <w:r>
        <w:rPr>
          <w:b/>
          <w:sz w:val="28"/>
          <w:szCs w:val="28"/>
        </w:rPr>
        <w:t xml:space="preserve">и комфортным жильем жителей города»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120 584 162,40 рублей.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338 600,00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на обеспечение жилыми помещениями детей-сирот и детей, оставшихся без попечения родителей, лиц из числа детей-</w:t>
      </w:r>
      <w:r>
        <w:rPr>
          <w:bCs/>
          <w:sz w:val="28"/>
          <w:szCs w:val="28"/>
        </w:rPr>
        <w:t>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</w:t>
      </w:r>
      <w:r>
        <w:rPr>
          <w:b/>
          <w:sz w:val="28"/>
          <w:szCs w:val="28"/>
        </w:rPr>
        <w:t>я программа города Канска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rPr>
          <w:b/>
          <w:sz w:val="28"/>
          <w:szCs w:val="28"/>
          <w:highlight w:val="yellow"/>
        </w:rPr>
      </w:pPr>
    </w:p>
    <w:p w:rsidR="00000000" w:rsidRDefault="0082576C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56 345 540,93 рублей.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</w:t>
      </w:r>
      <w:r>
        <w:rPr>
          <w:b/>
          <w:sz w:val="28"/>
          <w:szCs w:val="28"/>
        </w:rPr>
        <w:t>Уменьшены расходы на 597 979,80 рублей</w:t>
      </w:r>
      <w:r>
        <w:rPr>
          <w:sz w:val="28"/>
          <w:szCs w:val="28"/>
        </w:rPr>
        <w:t xml:space="preserve"> по мероприятию по благоустройству территорий, перераспределено на МП «Городское х</w:t>
      </w:r>
      <w:r>
        <w:rPr>
          <w:sz w:val="28"/>
          <w:szCs w:val="28"/>
        </w:rPr>
        <w:t>озяйство».</w:t>
      </w:r>
    </w:p>
    <w:p w:rsidR="00000000" w:rsidRDefault="0082576C">
      <w:pPr>
        <w:widowControl w:val="0"/>
        <w:tabs>
          <w:tab w:val="left" w:pos="975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82576C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82576C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224 550 140,51 рублей.</w:t>
      </w:r>
    </w:p>
    <w:p w:rsidR="00000000" w:rsidRDefault="0082576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6 874 800,00 </w:t>
      </w:r>
      <w:r>
        <w:rPr>
          <w:b/>
          <w:bCs/>
          <w:sz w:val="28"/>
          <w:szCs w:val="28"/>
        </w:rPr>
        <w:t>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82576C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- 5 160 000,00 рублей на расходы от поступлений денежных пожертвований, целевых сред</w:t>
      </w:r>
      <w:r>
        <w:rPr>
          <w:bCs/>
          <w:sz w:val="28"/>
          <w:szCs w:val="28"/>
        </w:rPr>
        <w:t>ств – выполнение работ по разработке изменений в генеральный план и правила землепользования и застройки города Канска;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- 374 500,00 рублей для реализации отдельных государственных полномочий по осуществлению мониторинга состояния и развития лесной промышл</w:t>
      </w:r>
      <w:r>
        <w:rPr>
          <w:bCs/>
          <w:sz w:val="28"/>
          <w:szCs w:val="28"/>
        </w:rPr>
        <w:t>енности;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- 180 100,00 рублей на выполнение государственных полномочий по созданию и обеспечению деятельности административных комиссий;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- 113 500,00 рублей  на осуществление отдельных государственных полномочий по обеспечению предоставления мер социальной </w:t>
      </w:r>
      <w:r>
        <w:rPr>
          <w:bCs/>
          <w:sz w:val="28"/>
          <w:szCs w:val="28"/>
        </w:rPr>
        <w:t>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- 450 600,</w:t>
      </w:r>
      <w:r>
        <w:rPr>
          <w:bCs/>
          <w:sz w:val="28"/>
          <w:szCs w:val="28"/>
        </w:rPr>
        <w:t>00 рублей  на организацию и осуществление деятельности по опеке и попечительству в отношении совершеннолетних граждан, а также в сфере патронажа;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- 55 800,00 рублей на осуществление государственных полномочий по осуществлению уведомительной регистрации кол</w:t>
      </w:r>
      <w:r>
        <w:rPr>
          <w:bCs/>
          <w:sz w:val="28"/>
          <w:szCs w:val="28"/>
        </w:rPr>
        <w:t>лективных договоров и территориальных соглашений и контроля за их выполнением;</w:t>
      </w:r>
    </w:p>
    <w:p w:rsidR="00000000" w:rsidRDefault="0082576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- 540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300,00 рублей на осуществление государственных полномочий по созданию и обеспечению деятельности комиссий по делам несовершеннолетних и защите их прав.</w:t>
      </w:r>
    </w:p>
    <w:p w:rsidR="00000000" w:rsidRDefault="0082576C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1. На основ</w:t>
      </w:r>
      <w:r>
        <w:rPr>
          <w:sz w:val="28"/>
          <w:szCs w:val="28"/>
        </w:rPr>
        <w:t>ании изменений, внесенных в параметры бюджета города Канска, предлагается утвердить бюджет города Канска:</w:t>
      </w: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- на 2025 год по доходам в размере –</w:t>
      </w:r>
      <w:r>
        <w:rPr>
          <w:b/>
          <w:sz w:val="28"/>
          <w:szCs w:val="28"/>
        </w:rPr>
        <w:t xml:space="preserve"> 4 095 188 863,34 </w:t>
      </w:r>
      <w:r>
        <w:rPr>
          <w:b/>
          <w:bCs/>
          <w:sz w:val="28"/>
          <w:szCs w:val="28"/>
        </w:rPr>
        <w:t>рубля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4 189 649 835,16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рублей,</w:t>
      </w:r>
      <w:r>
        <w:rPr>
          <w:sz w:val="28"/>
          <w:szCs w:val="28"/>
        </w:rPr>
        <w:t xml:space="preserve"> дефицит бюджета города    </w:t>
      </w:r>
      <w:r>
        <w:rPr>
          <w:sz w:val="28"/>
          <w:szCs w:val="28"/>
        </w:rPr>
        <w:t xml:space="preserve">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94 460 971,82</w:t>
      </w:r>
      <w:r>
        <w:rPr>
          <w:b/>
          <w:sz w:val="28"/>
          <w:szCs w:val="28"/>
        </w:rPr>
        <w:t xml:space="preserve"> рубль;</w:t>
      </w: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000000" w:rsidRDefault="0082576C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82576C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000000" w:rsidRDefault="0082576C">
      <w:pPr>
        <w:ind w:right="567" w:firstLine="709"/>
        <w:jc w:val="both"/>
        <w:rPr>
          <w:b/>
          <w:sz w:val="28"/>
          <w:szCs w:val="28"/>
          <w:u w:val="single"/>
        </w:rPr>
      </w:pPr>
    </w:p>
    <w:p w:rsidR="00000000" w:rsidRDefault="0082576C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82576C">
      <w:pPr>
        <w:ind w:firstLine="709"/>
        <w:jc w:val="both"/>
      </w:pPr>
      <w:r>
        <w:rPr>
          <w:bCs/>
          <w:sz w:val="28"/>
          <w:szCs w:val="28"/>
        </w:rPr>
        <w:t>1.Контрольно-счетная ко</w:t>
      </w:r>
      <w:r>
        <w:rPr>
          <w:bCs/>
          <w:sz w:val="28"/>
          <w:szCs w:val="28"/>
        </w:rPr>
        <w:t>миссия города Канска предлагает рассмотреть представленный Проект решения.</w:t>
      </w:r>
    </w:p>
    <w:p w:rsidR="00000000" w:rsidRDefault="0082576C">
      <w:pPr>
        <w:ind w:firstLine="709"/>
        <w:jc w:val="both"/>
      </w:pPr>
      <w:r>
        <w:rPr>
          <w:bCs/>
          <w:sz w:val="28"/>
          <w:szCs w:val="28"/>
        </w:rPr>
        <w:t xml:space="preserve">Настоящее заключение направить в Канский городской Совет депутатов, Главе города Канска. </w:t>
      </w:r>
    </w:p>
    <w:p w:rsidR="00000000" w:rsidRDefault="0082576C">
      <w:pPr>
        <w:ind w:firstLine="709"/>
        <w:jc w:val="both"/>
      </w:pPr>
    </w:p>
    <w:p w:rsidR="00000000" w:rsidRDefault="0082576C">
      <w:pPr>
        <w:ind w:firstLine="709"/>
        <w:jc w:val="both"/>
      </w:pPr>
    </w:p>
    <w:p w:rsidR="00000000" w:rsidRDefault="0082576C">
      <w:pPr>
        <w:jc w:val="both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Контрольно-счетной </w:t>
      </w:r>
    </w:p>
    <w:p w:rsidR="00000000" w:rsidRDefault="0082576C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Е.В.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арфенова</w:t>
      </w:r>
    </w:p>
    <w:p w:rsidR="00000000" w:rsidRDefault="0082576C">
      <w:pPr>
        <w:ind w:firstLine="708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576C">
      <w:r>
        <w:separator/>
      </w:r>
    </w:p>
  </w:endnote>
  <w:endnote w:type="continuationSeparator" w:id="0">
    <w:p w:rsidR="00000000" w:rsidRDefault="0082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576C">
      <w:r>
        <w:separator/>
      </w:r>
    </w:p>
  </w:footnote>
  <w:footnote w:type="continuationSeparator" w:id="0">
    <w:p w:rsidR="00000000" w:rsidRDefault="0082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576C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7020" cy="222885"/>
              <wp:effectExtent l="6985" t="635" r="127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222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2576C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6pt;height:17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" stroked="f">
              <v:fill opacity="0"/>
              <v:textbox inset="0,0,0,0">
                <w:txbxContent>
                  <w:p w:rsidR="00000000" w:rsidRDefault="0082576C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576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6C"/>
    <w:rsid w:val="008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3CFD3C46-DEC8-4C30-BEA3-6FF45714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17384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2025-03-17T09:01:00Z</cp:lastPrinted>
  <dcterms:created xsi:type="dcterms:W3CDTF">2026-03-12T08:33:00Z</dcterms:created>
  <dcterms:modified xsi:type="dcterms:W3CDTF">2026-03-12T08:33:00Z</dcterms:modified>
</cp:coreProperties>
</file>